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5" w:rsidRPr="006F3D69" w:rsidRDefault="009C66C5" w:rsidP="009C66C5">
      <w:pPr>
        <w:spacing w:line="276" w:lineRule="auto"/>
        <w:jc w:val="center"/>
        <w:rPr>
          <w:sz w:val="32"/>
          <w:szCs w:val="36"/>
        </w:rPr>
      </w:pPr>
      <w:bookmarkStart w:id="0" w:name="_GoBack"/>
      <w:bookmarkEnd w:id="0"/>
      <w:r w:rsidRPr="006F3D69">
        <w:rPr>
          <w:sz w:val="32"/>
          <w:szCs w:val="36"/>
        </w:rPr>
        <w:t>СОБРАНИЕ ДЕПУТАТОВ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НОВОПОСЕЛЕНОВСКОГО СЕЛЬСОВЕТА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КУРСКОГО РАЙОНА КУРСКОЙ ОБЛАСТИ</w:t>
      </w:r>
    </w:p>
    <w:p w:rsidR="000146F3" w:rsidRPr="006F3D69" w:rsidRDefault="000146F3" w:rsidP="009C66C5">
      <w:pPr>
        <w:spacing w:line="276" w:lineRule="auto"/>
        <w:jc w:val="center"/>
        <w:rPr>
          <w:sz w:val="32"/>
          <w:szCs w:val="36"/>
        </w:rPr>
      </w:pPr>
    </w:p>
    <w:p w:rsidR="009C66C5" w:rsidRPr="006F3D69" w:rsidRDefault="009C66C5" w:rsidP="009C66C5">
      <w:pPr>
        <w:pStyle w:val="7"/>
        <w:tabs>
          <w:tab w:val="left" w:pos="0"/>
        </w:tabs>
        <w:spacing w:line="276" w:lineRule="auto"/>
        <w:rPr>
          <w:b w:val="0"/>
          <w:sz w:val="32"/>
          <w:szCs w:val="36"/>
        </w:rPr>
      </w:pPr>
      <w:proofErr w:type="gramStart"/>
      <w:r w:rsidRPr="006F3D69">
        <w:rPr>
          <w:b w:val="0"/>
          <w:sz w:val="32"/>
          <w:szCs w:val="36"/>
        </w:rPr>
        <w:t>Р</w:t>
      </w:r>
      <w:proofErr w:type="gramEnd"/>
      <w:r w:rsidRPr="006F3D69">
        <w:rPr>
          <w:b w:val="0"/>
          <w:sz w:val="32"/>
          <w:szCs w:val="36"/>
        </w:rPr>
        <w:t xml:space="preserve"> Е Ш Е Н И Е</w:t>
      </w:r>
    </w:p>
    <w:p w:rsidR="009C66C5" w:rsidRPr="006F3D69" w:rsidRDefault="008D1089" w:rsidP="009C66C5">
      <w:pPr>
        <w:spacing w:line="276" w:lineRule="auto"/>
        <w:jc w:val="center"/>
        <w:rPr>
          <w:sz w:val="28"/>
          <w:szCs w:val="28"/>
        </w:rPr>
      </w:pPr>
      <w:r w:rsidRPr="006F3D69">
        <w:rPr>
          <w:sz w:val="28"/>
          <w:szCs w:val="28"/>
        </w:rPr>
        <w:t xml:space="preserve"> </w:t>
      </w:r>
      <w:r w:rsidR="009C66C5" w:rsidRPr="006F3D69">
        <w:rPr>
          <w:sz w:val="28"/>
          <w:szCs w:val="28"/>
        </w:rPr>
        <w:t xml:space="preserve"> </w:t>
      </w:r>
    </w:p>
    <w:p w:rsidR="006F3D69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от</w:t>
      </w:r>
      <w:r w:rsidR="008D1089" w:rsidRPr="006F3D69">
        <w:rPr>
          <w:sz w:val="32"/>
          <w:szCs w:val="32"/>
        </w:rPr>
        <w:t xml:space="preserve"> </w:t>
      </w:r>
      <w:r w:rsidR="00B07EF4">
        <w:rPr>
          <w:sz w:val="32"/>
          <w:szCs w:val="32"/>
        </w:rPr>
        <w:t xml:space="preserve">26 </w:t>
      </w:r>
      <w:r w:rsidR="00D1420B">
        <w:rPr>
          <w:sz w:val="32"/>
          <w:szCs w:val="32"/>
        </w:rPr>
        <w:t>сентября</w:t>
      </w:r>
      <w:r w:rsidR="00091A16">
        <w:rPr>
          <w:sz w:val="32"/>
          <w:szCs w:val="32"/>
        </w:rPr>
        <w:t xml:space="preserve"> </w:t>
      </w:r>
      <w:r w:rsidR="006F3D69" w:rsidRPr="006F3D69">
        <w:rPr>
          <w:sz w:val="32"/>
          <w:szCs w:val="32"/>
        </w:rPr>
        <w:t xml:space="preserve">2022 </w:t>
      </w:r>
      <w:r w:rsidR="00C16F61" w:rsidRPr="006F3D69">
        <w:rPr>
          <w:sz w:val="32"/>
          <w:szCs w:val="32"/>
        </w:rPr>
        <w:t xml:space="preserve">года                </w:t>
      </w:r>
      <w:r w:rsidR="00950A7E" w:rsidRPr="006F3D69">
        <w:rPr>
          <w:sz w:val="32"/>
          <w:szCs w:val="32"/>
        </w:rPr>
        <w:t xml:space="preserve"> </w:t>
      </w:r>
      <w:r w:rsidR="00FC43F5" w:rsidRPr="006F3D69">
        <w:rPr>
          <w:sz w:val="32"/>
          <w:szCs w:val="32"/>
        </w:rPr>
        <w:t xml:space="preserve">    </w:t>
      </w:r>
      <w:r w:rsidR="00C16F61" w:rsidRPr="006F3D69">
        <w:rPr>
          <w:sz w:val="32"/>
          <w:szCs w:val="32"/>
        </w:rPr>
        <w:t xml:space="preserve"> </w:t>
      </w:r>
      <w:r w:rsidR="00B07EF4">
        <w:rPr>
          <w:sz w:val="32"/>
          <w:szCs w:val="32"/>
        </w:rPr>
        <w:t xml:space="preserve">     </w:t>
      </w:r>
      <w:r w:rsidR="00C16F61" w:rsidRPr="006F3D69">
        <w:rPr>
          <w:sz w:val="32"/>
          <w:szCs w:val="32"/>
        </w:rPr>
        <w:t xml:space="preserve">        </w:t>
      </w:r>
      <w:r w:rsidR="00B2239B" w:rsidRPr="006F3D69">
        <w:rPr>
          <w:sz w:val="32"/>
          <w:szCs w:val="32"/>
        </w:rPr>
        <w:t xml:space="preserve"> </w:t>
      </w:r>
      <w:r w:rsidR="00C16F61" w:rsidRPr="006F3D69">
        <w:rPr>
          <w:sz w:val="32"/>
          <w:szCs w:val="32"/>
        </w:rPr>
        <w:t xml:space="preserve">                 </w:t>
      </w:r>
      <w:r w:rsidR="006F3D69">
        <w:rPr>
          <w:sz w:val="32"/>
          <w:szCs w:val="32"/>
        </w:rPr>
        <w:t xml:space="preserve">     </w:t>
      </w:r>
      <w:r w:rsidR="00C16F61" w:rsidRPr="006F3D69">
        <w:rPr>
          <w:sz w:val="32"/>
          <w:szCs w:val="32"/>
        </w:rPr>
        <w:t xml:space="preserve">          </w:t>
      </w:r>
      <w:r w:rsidR="009C66C5" w:rsidRPr="006F3D69">
        <w:rPr>
          <w:sz w:val="32"/>
          <w:szCs w:val="32"/>
        </w:rPr>
        <w:t>№</w:t>
      </w:r>
      <w:r w:rsidR="00950A7E" w:rsidRPr="006F3D69">
        <w:rPr>
          <w:sz w:val="32"/>
          <w:szCs w:val="32"/>
        </w:rPr>
        <w:t xml:space="preserve"> </w:t>
      </w:r>
      <w:r w:rsidR="00B07EF4">
        <w:rPr>
          <w:sz w:val="32"/>
          <w:szCs w:val="32"/>
        </w:rPr>
        <w:t>7-7-1</w:t>
      </w:r>
    </w:p>
    <w:p w:rsidR="00921429" w:rsidRPr="006F3D69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д. 1-е Цветово</w:t>
      </w:r>
    </w:p>
    <w:p w:rsidR="00B2239B" w:rsidRPr="006F3D69" w:rsidRDefault="00B2239B" w:rsidP="009C66C5">
      <w:pPr>
        <w:spacing w:line="276" w:lineRule="auto"/>
        <w:jc w:val="center"/>
        <w:rPr>
          <w:sz w:val="32"/>
          <w:szCs w:val="32"/>
        </w:rPr>
      </w:pPr>
    </w:p>
    <w:p w:rsidR="009C66C5" w:rsidRPr="006F3D69" w:rsidRDefault="009C66C5" w:rsidP="009C66C5">
      <w:pPr>
        <w:spacing w:line="276" w:lineRule="auto"/>
        <w:jc w:val="center"/>
        <w:rPr>
          <w:sz w:val="32"/>
          <w:szCs w:val="32"/>
        </w:rPr>
      </w:pPr>
      <w:r w:rsidRPr="006F3D69">
        <w:rPr>
          <w:sz w:val="32"/>
          <w:szCs w:val="32"/>
        </w:rPr>
        <w:t xml:space="preserve">О внесении изменений и дополнений в Решение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32"/>
          <w:szCs w:val="32"/>
        </w:rPr>
        <w:t>20</w:t>
      </w:r>
      <w:r w:rsidR="008C260F" w:rsidRPr="006F3D69">
        <w:rPr>
          <w:sz w:val="32"/>
          <w:szCs w:val="32"/>
        </w:rPr>
        <w:t xml:space="preserve"> декабря 20</w:t>
      </w:r>
      <w:r w:rsidR="008075A3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>1</w:t>
      </w:r>
      <w:r w:rsidR="008C260F" w:rsidRPr="006F3D69">
        <w:rPr>
          <w:sz w:val="32"/>
          <w:szCs w:val="32"/>
        </w:rPr>
        <w:t xml:space="preserve"> года № </w:t>
      </w:r>
      <w:r w:rsidR="008075A3" w:rsidRPr="006F3D69">
        <w:rPr>
          <w:sz w:val="32"/>
          <w:szCs w:val="32"/>
        </w:rPr>
        <w:t>1</w:t>
      </w:r>
      <w:r w:rsidR="006F3D69" w:rsidRPr="006F3D69">
        <w:rPr>
          <w:sz w:val="32"/>
          <w:szCs w:val="32"/>
        </w:rPr>
        <w:t>80</w:t>
      </w:r>
      <w:r w:rsidR="005323E1" w:rsidRPr="006F3D69">
        <w:rPr>
          <w:sz w:val="32"/>
          <w:szCs w:val="32"/>
        </w:rPr>
        <w:t>-6-</w:t>
      </w:r>
      <w:r w:rsidR="006F3D69" w:rsidRPr="006F3D69">
        <w:rPr>
          <w:sz w:val="32"/>
          <w:szCs w:val="32"/>
        </w:rPr>
        <w:t>87</w:t>
      </w:r>
      <w:r w:rsidRPr="006F3D69">
        <w:rPr>
          <w:sz w:val="32"/>
          <w:szCs w:val="32"/>
        </w:rPr>
        <w:t xml:space="preserve"> «О бюджете Новопоселеновского сельсовета Курского района Курской области на 20</w:t>
      </w:r>
      <w:r w:rsidR="005323E1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>2</w:t>
      </w:r>
      <w:r w:rsidRPr="006F3D69">
        <w:rPr>
          <w:sz w:val="32"/>
          <w:szCs w:val="32"/>
        </w:rPr>
        <w:t xml:space="preserve"> год и на плановый</w:t>
      </w:r>
      <w:r w:rsidR="008C260F" w:rsidRPr="006F3D69">
        <w:rPr>
          <w:sz w:val="32"/>
          <w:szCs w:val="32"/>
        </w:rPr>
        <w:t xml:space="preserve"> период 202</w:t>
      </w:r>
      <w:r w:rsidR="006F3D69" w:rsidRPr="006F3D69">
        <w:rPr>
          <w:sz w:val="32"/>
          <w:szCs w:val="32"/>
        </w:rPr>
        <w:t>3</w:t>
      </w:r>
      <w:r w:rsidRPr="006F3D69">
        <w:rPr>
          <w:sz w:val="32"/>
          <w:szCs w:val="32"/>
        </w:rPr>
        <w:t xml:space="preserve"> и 20</w:t>
      </w:r>
      <w:r w:rsidR="000146F3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 xml:space="preserve">4 </w:t>
      </w:r>
      <w:r w:rsidRPr="006F3D69">
        <w:rPr>
          <w:sz w:val="32"/>
          <w:szCs w:val="32"/>
        </w:rPr>
        <w:t xml:space="preserve">годов» </w:t>
      </w:r>
    </w:p>
    <w:p w:rsidR="009C66C5" w:rsidRPr="006F3D69" w:rsidRDefault="009C66C5" w:rsidP="009C66C5">
      <w:pPr>
        <w:spacing w:line="276" w:lineRule="auto"/>
        <w:jc w:val="center"/>
        <w:rPr>
          <w:sz w:val="28"/>
          <w:szCs w:val="28"/>
        </w:rPr>
      </w:pPr>
    </w:p>
    <w:p w:rsidR="009C66C5" w:rsidRPr="006F3D69" w:rsidRDefault="009C66C5" w:rsidP="009C66C5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gramStart"/>
      <w:r w:rsidRPr="006F3D69">
        <w:rPr>
          <w:sz w:val="28"/>
          <w:szCs w:val="28"/>
        </w:rPr>
        <w:t>муниципального</w:t>
      </w:r>
      <w:proofErr w:type="gramEnd"/>
      <w:r w:rsidRPr="006F3D69">
        <w:rPr>
          <w:sz w:val="28"/>
          <w:szCs w:val="28"/>
        </w:rPr>
        <w:t xml:space="preserve"> образования «Новопоселеновский сельсовет» Курского района Курской области, Собрание депутатов Новопоселеновского сельсовета Курского района Курской области </w:t>
      </w:r>
    </w:p>
    <w:p w:rsidR="009C66C5" w:rsidRPr="006F3D69" w:rsidRDefault="009C66C5" w:rsidP="009C66C5">
      <w:pPr>
        <w:spacing w:line="276" w:lineRule="auto"/>
        <w:ind w:firstLine="851"/>
        <w:jc w:val="center"/>
        <w:rPr>
          <w:sz w:val="28"/>
          <w:szCs w:val="28"/>
        </w:rPr>
      </w:pPr>
      <w:proofErr w:type="gramStart"/>
      <w:r w:rsidRPr="006F3D69">
        <w:rPr>
          <w:sz w:val="28"/>
          <w:szCs w:val="28"/>
        </w:rPr>
        <w:t>Р</w:t>
      </w:r>
      <w:proofErr w:type="gramEnd"/>
      <w:r w:rsidRPr="006F3D69">
        <w:rPr>
          <w:sz w:val="28"/>
          <w:szCs w:val="28"/>
        </w:rPr>
        <w:t xml:space="preserve"> Е Ш И Л О :</w:t>
      </w:r>
    </w:p>
    <w:p w:rsidR="00891247" w:rsidRPr="006F3D69" w:rsidRDefault="00891247" w:rsidP="0089124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6F3D69">
        <w:rPr>
          <w:sz w:val="28"/>
          <w:szCs w:val="28"/>
        </w:rPr>
        <w:t xml:space="preserve">1. Внести изменение в </w:t>
      </w:r>
      <w:r w:rsidR="0043530A" w:rsidRPr="006F3D69">
        <w:rPr>
          <w:sz w:val="28"/>
          <w:szCs w:val="28"/>
        </w:rPr>
        <w:t>Р</w:t>
      </w:r>
      <w:r w:rsidRPr="006F3D69">
        <w:rPr>
          <w:sz w:val="28"/>
          <w:szCs w:val="28"/>
        </w:rPr>
        <w:t xml:space="preserve">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28"/>
          <w:szCs w:val="28"/>
        </w:rPr>
        <w:t>20</w:t>
      </w:r>
      <w:r w:rsidR="008075A3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декабря 20</w:t>
      </w:r>
      <w:r w:rsidR="008075A3" w:rsidRPr="006F3D69">
        <w:rPr>
          <w:sz w:val="28"/>
          <w:szCs w:val="28"/>
        </w:rPr>
        <w:t>2</w:t>
      </w:r>
      <w:r w:rsidR="006F3D69" w:rsidRPr="006F3D69">
        <w:rPr>
          <w:sz w:val="28"/>
          <w:szCs w:val="28"/>
        </w:rPr>
        <w:t>1</w:t>
      </w:r>
      <w:r w:rsidRPr="006F3D69">
        <w:rPr>
          <w:sz w:val="28"/>
          <w:szCs w:val="28"/>
        </w:rPr>
        <w:t xml:space="preserve"> года № </w:t>
      </w:r>
      <w:r w:rsidR="006F3D69" w:rsidRPr="006F3D69">
        <w:rPr>
          <w:sz w:val="28"/>
          <w:szCs w:val="28"/>
        </w:rPr>
        <w:t>180-6-87</w:t>
      </w:r>
      <w:r w:rsidRPr="006F3D69">
        <w:rPr>
          <w:sz w:val="28"/>
          <w:szCs w:val="28"/>
        </w:rPr>
        <w:t xml:space="preserve"> «О бюджете Новопоселеновского сельсовета Курского района Курской области на 202</w:t>
      </w:r>
      <w:r w:rsidR="006F3D69" w:rsidRPr="006F3D69">
        <w:rPr>
          <w:sz w:val="28"/>
          <w:szCs w:val="28"/>
        </w:rPr>
        <w:t>2</w:t>
      </w:r>
      <w:r w:rsidRPr="006F3D69">
        <w:rPr>
          <w:sz w:val="28"/>
          <w:szCs w:val="28"/>
        </w:rPr>
        <w:t xml:space="preserve"> год и на плановый период 202</w:t>
      </w:r>
      <w:r w:rsidR="006F3D69" w:rsidRPr="006F3D69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 и 202</w:t>
      </w:r>
      <w:r w:rsidR="006F3D69" w:rsidRPr="006F3D69">
        <w:rPr>
          <w:sz w:val="28"/>
          <w:szCs w:val="28"/>
        </w:rPr>
        <w:t>4</w:t>
      </w:r>
      <w:r w:rsidRPr="006F3D69">
        <w:rPr>
          <w:sz w:val="28"/>
          <w:szCs w:val="28"/>
        </w:rPr>
        <w:t xml:space="preserve"> годов»</w:t>
      </w:r>
    </w:p>
    <w:p w:rsidR="001966CA" w:rsidRPr="006F3D69" w:rsidRDefault="001966CA" w:rsidP="001966CA">
      <w:pPr>
        <w:numPr>
          <w:ilvl w:val="0"/>
          <w:numId w:val="2"/>
        </w:numPr>
        <w:tabs>
          <w:tab w:val="num" w:pos="0"/>
        </w:tabs>
        <w:suppressAutoHyphens w:val="0"/>
        <w:spacing w:line="276" w:lineRule="auto"/>
        <w:ind w:left="0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В текстовой части решения:</w:t>
      </w:r>
    </w:p>
    <w:p w:rsidR="001966CA" w:rsidRPr="006F3D69" w:rsidRDefault="001966CA" w:rsidP="001966CA">
      <w:pPr>
        <w:pStyle w:val="p7"/>
        <w:spacing w:before="0" w:after="0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- статью 1 «Основные характеристики бюджета Новопоселеновского сельсовета Курского района Курской области» изложить в следующей редакции:</w:t>
      </w:r>
    </w:p>
    <w:p w:rsidR="006F3D69" w:rsidRPr="006F3D69" w:rsidRDefault="001966CA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1. </w:t>
      </w:r>
      <w:r w:rsidR="006F3D69" w:rsidRPr="006F3D69">
        <w:rPr>
          <w:sz w:val="28"/>
          <w:szCs w:val="28"/>
        </w:rPr>
        <w:t>Утвердить основные характеристики бюджета Новопоселеновского сельсовета Курского района Курской области (далее – местный бюджет) на 2022 год:</w:t>
      </w:r>
    </w:p>
    <w:p w:rsidR="006F3D69" w:rsidRPr="006F3D69" w:rsidRDefault="006F3D69" w:rsidP="006F3D69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прогнозируемый общий объем доходов местного бюджета в сумме 14 </w:t>
      </w:r>
      <w:r w:rsidR="00D1420B">
        <w:rPr>
          <w:sz w:val="28"/>
          <w:szCs w:val="28"/>
        </w:rPr>
        <w:t>505 597</w:t>
      </w:r>
      <w:r w:rsidRPr="006F3D69">
        <w:rPr>
          <w:sz w:val="28"/>
          <w:szCs w:val="28"/>
        </w:rPr>
        <w:t xml:space="preserve"> руб. </w:t>
      </w:r>
      <w:r w:rsidR="00D1420B">
        <w:rPr>
          <w:sz w:val="28"/>
          <w:szCs w:val="28"/>
        </w:rPr>
        <w:t>6</w:t>
      </w:r>
      <w:r w:rsidRPr="006F3D69">
        <w:rPr>
          <w:sz w:val="28"/>
          <w:szCs w:val="28"/>
        </w:rPr>
        <w:t>0 коп</w:t>
      </w:r>
      <w:proofErr w:type="gramStart"/>
      <w:r w:rsidRPr="006F3D69">
        <w:rPr>
          <w:sz w:val="28"/>
          <w:szCs w:val="28"/>
        </w:rPr>
        <w:t>.;</w:t>
      </w:r>
      <w:proofErr w:type="gramEnd"/>
    </w:p>
    <w:p w:rsidR="006F3D69" w:rsidRP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общий объем расходов местного бюджета в сумме </w:t>
      </w:r>
      <w:r w:rsidR="00D1420B">
        <w:rPr>
          <w:sz w:val="28"/>
          <w:szCs w:val="28"/>
        </w:rPr>
        <w:t>22 552 727</w:t>
      </w:r>
      <w:r w:rsidR="00284B33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 xml:space="preserve">руб. </w:t>
      </w:r>
      <w:r w:rsidR="00D1420B">
        <w:rPr>
          <w:sz w:val="28"/>
          <w:szCs w:val="28"/>
        </w:rPr>
        <w:t>4</w:t>
      </w:r>
      <w:r w:rsidRPr="006F3D69">
        <w:rPr>
          <w:sz w:val="28"/>
          <w:szCs w:val="28"/>
        </w:rPr>
        <w:t>5 коп</w:t>
      </w:r>
      <w:proofErr w:type="gramStart"/>
      <w:r w:rsidRPr="006F3D69">
        <w:rPr>
          <w:sz w:val="28"/>
          <w:szCs w:val="28"/>
        </w:rPr>
        <w:t>.;</w:t>
      </w:r>
      <w:proofErr w:type="gramEnd"/>
    </w:p>
    <w:p w:rsidR="006F3D69" w:rsidRP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дефицит местного бюджета в сумме 8 047 129 руб. 85 коп.</w:t>
      </w:r>
    </w:p>
    <w:p w:rsidR="002C242E" w:rsidRPr="006F3D69" w:rsidRDefault="002C242E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Приложения № 1, </w:t>
      </w:r>
      <w:r w:rsidR="006F3D69" w:rsidRPr="006F3D69">
        <w:rPr>
          <w:sz w:val="28"/>
          <w:szCs w:val="28"/>
        </w:rPr>
        <w:t>2</w:t>
      </w:r>
      <w:r w:rsidRPr="006F3D69">
        <w:rPr>
          <w:sz w:val="28"/>
          <w:szCs w:val="28"/>
        </w:rPr>
        <w:t xml:space="preserve">, </w:t>
      </w:r>
      <w:r w:rsidR="006F3D69" w:rsidRPr="006F3D69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, </w:t>
      </w:r>
      <w:r w:rsidR="006F3D69" w:rsidRPr="006F3D69">
        <w:rPr>
          <w:sz w:val="28"/>
          <w:szCs w:val="28"/>
        </w:rPr>
        <w:t>4, 5, 13 (2022 год)</w:t>
      </w:r>
      <w:r w:rsidR="00CD7E89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изложить в новой редакции (прилагаются);</w:t>
      </w:r>
    </w:p>
    <w:p w:rsidR="00891247" w:rsidRPr="006F3D69" w:rsidRDefault="00891247" w:rsidP="00891247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2. Решение вступает в силу со дня его подписания.</w:t>
      </w:r>
    </w:p>
    <w:p w:rsidR="009C66C5" w:rsidRPr="006F3D69" w:rsidRDefault="009C66C5" w:rsidP="002E6988">
      <w:pPr>
        <w:spacing w:before="120"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Председатель Собрания депутатов</w:t>
      </w:r>
    </w:p>
    <w:p w:rsidR="009C66C5" w:rsidRPr="006F3D69" w:rsidRDefault="009C66C5" w:rsidP="009C66C5">
      <w:pPr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Новопоселеновского сельсовета </w:t>
      </w:r>
    </w:p>
    <w:p w:rsidR="009C66C5" w:rsidRPr="006F3D69" w:rsidRDefault="009C66C5" w:rsidP="002E6988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</w:t>
      </w:r>
      <w:r w:rsidR="006F3D69">
        <w:rPr>
          <w:sz w:val="28"/>
          <w:szCs w:val="28"/>
        </w:rPr>
        <w:t xml:space="preserve">     </w:t>
      </w:r>
      <w:r w:rsidR="002E6988" w:rsidRPr="006F3D69">
        <w:rPr>
          <w:sz w:val="28"/>
          <w:szCs w:val="28"/>
        </w:rPr>
        <w:tab/>
      </w:r>
      <w:r w:rsidR="00BE4FF3">
        <w:rPr>
          <w:sz w:val="28"/>
          <w:szCs w:val="28"/>
        </w:rPr>
        <w:t xml:space="preserve">    </w:t>
      </w:r>
      <w:r w:rsidRPr="006F3D69">
        <w:rPr>
          <w:sz w:val="28"/>
          <w:szCs w:val="28"/>
        </w:rPr>
        <w:t>С.</w:t>
      </w:r>
      <w:r w:rsidR="00BE4FF3">
        <w:rPr>
          <w:sz w:val="28"/>
          <w:szCs w:val="28"/>
        </w:rPr>
        <w:t>И</w:t>
      </w:r>
      <w:r w:rsidRPr="006F3D69">
        <w:rPr>
          <w:sz w:val="28"/>
          <w:szCs w:val="28"/>
        </w:rPr>
        <w:t xml:space="preserve">. </w:t>
      </w:r>
      <w:r w:rsidR="00BE4FF3">
        <w:rPr>
          <w:sz w:val="28"/>
          <w:szCs w:val="28"/>
        </w:rPr>
        <w:t>Воронина</w:t>
      </w:r>
    </w:p>
    <w:p w:rsidR="00BF612A" w:rsidRPr="006F3D69" w:rsidRDefault="00BF612A" w:rsidP="00BF612A">
      <w:pPr>
        <w:rPr>
          <w:sz w:val="28"/>
          <w:szCs w:val="28"/>
        </w:rPr>
      </w:pPr>
      <w:r w:rsidRPr="006F3D69">
        <w:rPr>
          <w:sz w:val="28"/>
          <w:szCs w:val="28"/>
        </w:rPr>
        <w:t>Глава Новопоселеновского сельсовета</w:t>
      </w:r>
    </w:p>
    <w:p w:rsidR="00BF612A" w:rsidRDefault="00BF612A" w:rsidP="00921429">
      <w:pPr>
        <w:tabs>
          <w:tab w:val="left" w:pos="7290"/>
        </w:tabs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                          </w:t>
      </w:r>
      <w:r w:rsidR="006F3D69">
        <w:rPr>
          <w:sz w:val="28"/>
          <w:szCs w:val="28"/>
        </w:rPr>
        <w:t xml:space="preserve">      </w:t>
      </w:r>
      <w:r w:rsidRPr="006F3D69">
        <w:rPr>
          <w:sz w:val="28"/>
          <w:szCs w:val="28"/>
        </w:rPr>
        <w:t xml:space="preserve">        </w:t>
      </w:r>
      <w:r w:rsidR="00921429" w:rsidRPr="006F3D69">
        <w:rPr>
          <w:sz w:val="28"/>
          <w:szCs w:val="28"/>
        </w:rPr>
        <w:t xml:space="preserve">           </w:t>
      </w:r>
      <w:r w:rsidRPr="006F3D69">
        <w:rPr>
          <w:sz w:val="28"/>
          <w:szCs w:val="28"/>
        </w:rPr>
        <w:t xml:space="preserve">       И.Г. Бирюков</w:t>
      </w: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0625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4940"/>
      </w:tblGrid>
      <w:tr w:rsidR="007C60EA" w:rsidRPr="007C60EA" w:rsidTr="007C60EA">
        <w:trPr>
          <w:trHeight w:val="42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7C60EA">
              <w:rPr>
                <w:color w:val="000000"/>
                <w:sz w:val="22"/>
                <w:szCs w:val="24"/>
                <w:lang w:eastAsia="ru-RU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688"/>
        </w:trPr>
        <w:tc>
          <w:tcPr>
            <w:tcW w:w="1062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spacing w:after="320"/>
              <w:jc w:val="center"/>
              <w:rPr>
                <w:sz w:val="22"/>
                <w:szCs w:val="32"/>
                <w:lang w:eastAsia="ru-RU"/>
              </w:rPr>
            </w:pPr>
            <w:r w:rsidRPr="007C60EA">
              <w:rPr>
                <w:sz w:val="22"/>
                <w:szCs w:val="32"/>
                <w:lang w:eastAsia="ru-RU"/>
              </w:rPr>
              <w:t>Источники финансирования дефицита бюджета Новопоселеновского сельсовета Курского района Курской области на 2022 год и на плановый период 2023 и 2024 годов</w:t>
            </w:r>
          </w:p>
        </w:tc>
      </w:tr>
      <w:tr w:rsidR="007C60EA" w:rsidRPr="007C60EA" w:rsidTr="007C60EA">
        <w:trPr>
          <w:trHeight w:val="420"/>
        </w:trPr>
        <w:tc>
          <w:tcPr>
            <w:tcW w:w="106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3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Наименование источников финансирования дефицита бюджета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Итого на 2022 год, руб.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01 00 00 00 00 0000 000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8047129,85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Изменение остатков средств на </w:t>
            </w: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счетах</w:t>
            </w:r>
            <w:proofErr w:type="gramEnd"/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по учету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8047129,85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-14505597,60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-14505597,60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-14505597,60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-14505597,60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+22552727,45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+22552727,45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+22552727,45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+22552727,45</w:t>
            </w: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2000"/>
        <w:gridCol w:w="3827"/>
        <w:gridCol w:w="3820"/>
      </w:tblGrid>
      <w:tr w:rsidR="007C60EA" w:rsidRPr="007C60EA" w:rsidTr="007C60EA">
        <w:trPr>
          <w:trHeight w:val="49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4"/>
                <w:lang w:eastAsia="ru-RU"/>
              </w:rPr>
            </w:pPr>
            <w:proofErr w:type="gramStart"/>
            <w:r w:rsidRPr="007C60EA">
              <w:rPr>
                <w:color w:val="000000"/>
                <w:szCs w:val="24"/>
                <w:lang w:eastAsia="ru-RU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 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7C60EA" w:rsidRPr="007C60EA" w:rsidTr="007C60EA">
        <w:trPr>
          <w:trHeight w:val="1920"/>
        </w:trPr>
        <w:tc>
          <w:tcPr>
            <w:tcW w:w="9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32"/>
                <w:lang w:eastAsia="ru-RU"/>
              </w:rPr>
            </w:pPr>
            <w:r w:rsidRPr="007C60EA">
              <w:rPr>
                <w:szCs w:val="32"/>
                <w:lang w:eastAsia="ru-RU"/>
              </w:rPr>
              <w:t xml:space="preserve">Поступления доходов  по основным источникам в бюджет </w:t>
            </w:r>
            <w:r w:rsidRPr="007C60EA">
              <w:rPr>
                <w:szCs w:val="32"/>
                <w:lang w:eastAsia="ru-RU"/>
              </w:rPr>
              <w:br/>
              <w:t>Новопоселеновского сельсовета Курского района Курской области  на 2022 год и на плановый период 2023 и 2024 годов</w:t>
            </w:r>
          </w:p>
        </w:tc>
      </w:tr>
      <w:tr w:rsidR="007C60EA" w:rsidRPr="007C60EA" w:rsidTr="007C60EA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 xml:space="preserve"> Итого на 2022 год, рублей</w:t>
            </w:r>
          </w:p>
        </w:tc>
      </w:tr>
      <w:tr w:rsidR="007C60EA" w:rsidRPr="007C60EA" w:rsidTr="007C60EA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10155560,00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1422349,00</w:t>
            </w:r>
          </w:p>
        </w:tc>
      </w:tr>
      <w:tr w:rsidR="007C60EA" w:rsidRPr="007C60EA" w:rsidTr="007C60EA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1 01 02000 01 0000 000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1422349,00</w:t>
            </w:r>
          </w:p>
        </w:tc>
      </w:tr>
      <w:tr w:rsidR="007C60EA" w:rsidRPr="007C60EA" w:rsidTr="007C60EA">
        <w:trPr>
          <w:trHeight w:val="26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1008576,00</w:t>
            </w:r>
          </w:p>
        </w:tc>
      </w:tr>
      <w:tr w:rsidR="007C60EA" w:rsidRPr="007C60EA" w:rsidTr="007C60EA">
        <w:trPr>
          <w:trHeight w:val="3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40986,00</w:t>
            </w:r>
          </w:p>
        </w:tc>
      </w:tr>
      <w:tr w:rsidR="007C60EA" w:rsidRPr="007C60EA" w:rsidTr="007C60EA">
        <w:trPr>
          <w:trHeight w:val="18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12780,00</w:t>
            </w:r>
          </w:p>
        </w:tc>
      </w:tr>
      <w:tr w:rsidR="007C60EA" w:rsidRPr="007C60EA" w:rsidTr="007C60EA">
        <w:trPr>
          <w:trHeight w:val="28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360007,00</w:t>
            </w:r>
          </w:p>
        </w:tc>
      </w:tr>
      <w:tr w:rsidR="007C60EA" w:rsidRPr="007C60EA" w:rsidTr="007C60EA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1 05 00000 00 0000 110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146669,00</w:t>
            </w:r>
          </w:p>
        </w:tc>
      </w:tr>
      <w:tr w:rsidR="007C60EA" w:rsidRPr="007C60EA" w:rsidTr="007C60EA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146669,00</w:t>
            </w:r>
          </w:p>
        </w:tc>
      </w:tr>
      <w:tr w:rsidR="007C60EA" w:rsidRPr="007C60EA" w:rsidTr="007C60EA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1 05 3010 01 0000 110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146669,00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8490942,00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711887,00</w:t>
            </w:r>
          </w:p>
        </w:tc>
      </w:tr>
      <w:tr w:rsidR="007C60EA" w:rsidRPr="007C60EA" w:rsidTr="007C60E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711887,00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ЗЕМЕЛЬНЫЙ НАЛОГ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7779055,00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1944871,00</w:t>
            </w:r>
          </w:p>
        </w:tc>
      </w:tr>
      <w:tr w:rsidR="007C60EA" w:rsidRPr="007C60EA" w:rsidTr="007C60EA">
        <w:trPr>
          <w:trHeight w:val="13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1944871,00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5834184,00</w:t>
            </w:r>
          </w:p>
        </w:tc>
      </w:tr>
      <w:tr w:rsidR="007C60EA" w:rsidRPr="007C60EA" w:rsidTr="007C60EA">
        <w:trPr>
          <w:trHeight w:val="13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5834184,00</w:t>
            </w:r>
          </w:p>
        </w:tc>
      </w:tr>
      <w:tr w:rsidR="007C60EA" w:rsidRPr="007C60EA" w:rsidTr="007C60E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95600,00</w:t>
            </w:r>
          </w:p>
        </w:tc>
      </w:tr>
      <w:tr w:rsidR="007C60EA" w:rsidRPr="007C60EA" w:rsidTr="007C60EA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95600,00</w:t>
            </w:r>
          </w:p>
        </w:tc>
      </w:tr>
      <w:tr w:rsidR="007C60EA" w:rsidRPr="007C60EA" w:rsidTr="007C60EA">
        <w:trPr>
          <w:trHeight w:val="27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1 16 10030 10 0000 140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95600,00</w:t>
            </w:r>
          </w:p>
        </w:tc>
      </w:tr>
      <w:tr w:rsidR="007C60EA" w:rsidRPr="007C60EA" w:rsidTr="007C60EA">
        <w:trPr>
          <w:trHeight w:val="13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1 16 10031 10 0000 140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 xml:space="preserve">Возмещение ущерба при </w:t>
            </w:r>
            <w:proofErr w:type="gramStart"/>
            <w:r w:rsidRPr="007C60EA">
              <w:rPr>
                <w:color w:val="000000"/>
                <w:szCs w:val="28"/>
                <w:lang w:eastAsia="ru-RU"/>
              </w:rPr>
              <w:t>возникновении</w:t>
            </w:r>
            <w:proofErr w:type="gramEnd"/>
            <w:r w:rsidRPr="007C60EA">
              <w:rPr>
                <w:color w:val="000000"/>
                <w:szCs w:val="28"/>
                <w:lang w:eastAsia="ru-RU"/>
              </w:rPr>
              <w:t xml:space="preserve">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95600,00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4350037,60</w:t>
            </w:r>
          </w:p>
        </w:tc>
      </w:tr>
      <w:tr w:rsidR="007C60EA" w:rsidRPr="007C60EA" w:rsidTr="007C60EA">
        <w:trPr>
          <w:trHeight w:val="32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4350037,60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1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1551225,60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2 02 25555 00 0000 150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1339253,60</w:t>
            </w:r>
          </w:p>
        </w:tc>
      </w:tr>
      <w:tr w:rsidR="007C60EA" w:rsidRPr="007C60EA" w:rsidTr="007C60EA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2 02 25555 10 0000 150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1339253,60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lastRenderedPageBreak/>
              <w:t>2 02 29999 00 0000 150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Прочие субсидии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Прочие субсидии бюджетной системы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6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21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2 02 40014 00 0000 150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2 02 40014 10 0000 150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 xml:space="preserve">В С Е Г О Д О Х О </w:t>
            </w:r>
            <w:proofErr w:type="gramStart"/>
            <w:r w:rsidRPr="007C60EA">
              <w:rPr>
                <w:color w:val="000000"/>
                <w:szCs w:val="28"/>
                <w:lang w:eastAsia="ru-RU"/>
              </w:rPr>
              <w:t>Д</w:t>
            </w:r>
            <w:proofErr w:type="gramEnd"/>
            <w:r w:rsidRPr="007C60EA">
              <w:rPr>
                <w:color w:val="000000"/>
                <w:szCs w:val="28"/>
                <w:lang w:eastAsia="ru-RU"/>
              </w:rPr>
              <w:t xml:space="preserve"> О 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14505597,60</w:t>
            </w: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9876" w:type="dxa"/>
        <w:tblInd w:w="93" w:type="dxa"/>
        <w:tblLook w:val="04A0" w:firstRow="1" w:lastRow="0" w:firstColumn="1" w:lastColumn="0" w:noHBand="0" w:noVBand="1"/>
      </w:tblPr>
      <w:tblGrid>
        <w:gridCol w:w="2850"/>
        <w:gridCol w:w="1000"/>
        <w:gridCol w:w="1200"/>
        <w:gridCol w:w="1060"/>
        <w:gridCol w:w="900"/>
        <w:gridCol w:w="2644"/>
        <w:gridCol w:w="222"/>
      </w:tblGrid>
      <w:tr w:rsidR="007C60EA" w:rsidRPr="007C60EA" w:rsidTr="007C60EA">
        <w:trPr>
          <w:trHeight w:val="48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 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136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32"/>
                <w:lang w:eastAsia="ru-RU"/>
              </w:rPr>
            </w:pPr>
            <w:r w:rsidRPr="007C60EA">
              <w:rPr>
                <w:color w:val="000000"/>
                <w:szCs w:val="32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 </w:t>
            </w:r>
            <w:proofErr w:type="gramStart"/>
            <w:r w:rsidRPr="007C60EA">
              <w:rPr>
                <w:color w:val="000000"/>
                <w:szCs w:val="32"/>
                <w:lang w:eastAsia="ru-RU"/>
              </w:rPr>
              <w:t>видов расходов классификации расходов бюджета</w:t>
            </w:r>
            <w:proofErr w:type="gramEnd"/>
            <w:r w:rsidRPr="007C60EA">
              <w:rPr>
                <w:color w:val="000000"/>
                <w:szCs w:val="32"/>
                <w:lang w:eastAsia="ru-RU"/>
              </w:rPr>
              <w:t xml:space="preserve"> Новопоселеновского сельсовета Курского района Курской области на 2022 год  и на плановый период 2023 и 2024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36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7C60EA">
              <w:rPr>
                <w:color w:val="000000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ВР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Итого расходы на 2022 год,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b/>
                <w:bCs/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22 552 727,45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10 173 707,50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Глава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2 104 988,14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77 3 00 С1441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77 3 00 С1441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6 825 681,29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«Профилактика правонарушений в Новопоселеновском сельсовете Курского района Курской области на 2018 – 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2521592,58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1933292,05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60EA">
              <w:rPr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1715296,66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7C60EA">
              <w:rPr>
                <w:szCs w:val="28"/>
                <w:lang w:eastAsia="ru-RU"/>
              </w:rPr>
              <w:t>территориях</w:t>
            </w:r>
            <w:proofErr w:type="gramEnd"/>
            <w:r w:rsidRPr="007C60EA">
              <w:rPr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77 2 00 51180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3B349B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hyperlink r:id="rId7" w:history="1">
              <w:r w:rsidR="007C60EA" w:rsidRPr="007C60EA">
                <w:rPr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2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r w:rsidRPr="007C60EA">
              <w:rPr>
                <w:szCs w:val="28"/>
                <w:lang w:eastAsia="ru-RU"/>
              </w:rPr>
              <w:lastRenderedPageBreak/>
              <w:t>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</w:t>
            </w:r>
            <w:r w:rsidRPr="007C60EA">
              <w:rPr>
                <w:szCs w:val="28"/>
                <w:lang w:eastAsia="ru-RU"/>
              </w:rPr>
              <w:lastRenderedPageBreak/>
              <w:t>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7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9443348,54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9443348,54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  С1494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  С1494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 xml:space="preserve">Муниципальная программа «Развитие культуры в Новопоселеновском сельсовете Курского района Курской области на 2022 – 2026 годы»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01 1 01 13330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211972,00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01 1 01 13330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211972,00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6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S3330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456420,73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6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S3330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456420,73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808789,00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806789,00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300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850"/>
        <w:gridCol w:w="1000"/>
        <w:gridCol w:w="820"/>
        <w:gridCol w:w="880"/>
        <w:gridCol w:w="1552"/>
        <w:gridCol w:w="780"/>
        <w:gridCol w:w="1998"/>
      </w:tblGrid>
      <w:tr w:rsidR="007C60EA" w:rsidRPr="007C60EA" w:rsidTr="007C60EA">
        <w:trPr>
          <w:trHeight w:val="3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 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100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32"/>
                <w:lang w:eastAsia="ru-RU"/>
              </w:rPr>
            </w:pPr>
            <w:r w:rsidRPr="007C60EA">
              <w:rPr>
                <w:color w:val="000000"/>
                <w:szCs w:val="32"/>
                <w:lang w:eastAsia="ru-RU"/>
              </w:rPr>
              <w:t>Ведомственная структура расходов бюджета Новопоселеновского сельсовета Курского района Курской области на 2022 год   и на  плановый  период 2023 и 2024 годов</w:t>
            </w:r>
          </w:p>
        </w:tc>
      </w:tr>
      <w:tr w:rsidR="007C60EA" w:rsidRPr="007C60EA" w:rsidTr="007C60EA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129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ГРБС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ВР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Итого расходы на 2021 год, рублей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22 552 727,45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22 552 727,45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10 173 707,50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Глава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881 693,07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Непрограммные расходы органов местного </w:t>
            </w:r>
            <w:r w:rsidRPr="007C60EA">
              <w:rPr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34 378,00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2 104 988,14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2 075 302,14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29 686,00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77 3 00 С1441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77 3 00 С1441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6 825 681,29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Муниципальная программа «Управление муниципальным имуществом и земельными ресурсами Новопоселеновского </w:t>
            </w:r>
            <w:r w:rsidRPr="007C60EA">
              <w:rPr>
                <w:szCs w:val="28"/>
                <w:lang w:eastAsia="ru-RU"/>
              </w:rPr>
              <w:lastRenderedPageBreak/>
              <w:t>сельсовета Курского района Курской области на 2018-2024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13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500 000,00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250 000,00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«Профилактика правонарушений в Новопоселеновском сельсовете Курского района Курской области на 2018 – 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</w:tr>
      <w:tr w:rsidR="007C60EA" w:rsidRPr="007C60EA" w:rsidTr="007C60EA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</w:tr>
      <w:tr w:rsidR="007C60EA" w:rsidRPr="007C60EA" w:rsidTr="007C60E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5 000,00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 xml:space="preserve">Выполнение других обязательств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2521592,58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1933292,05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1715296,66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500,00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gramStart"/>
            <w:r w:rsidRPr="007C60EA">
              <w:rPr>
                <w:szCs w:val="28"/>
                <w:lang w:eastAsia="ru-RU"/>
              </w:rPr>
              <w:t>территориях</w:t>
            </w:r>
            <w:proofErr w:type="gramEnd"/>
            <w:r w:rsidRPr="007C60EA">
              <w:rPr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77 2 00 51180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77 2 00 51180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3B349B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hyperlink r:id="rId8" w:history="1">
              <w:r w:rsidR="007C60EA" w:rsidRPr="007C60EA">
                <w:rPr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26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6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767832,00</w:t>
            </w:r>
          </w:p>
        </w:tc>
      </w:tr>
      <w:tr w:rsidR="007C60EA" w:rsidRPr="007C60EA" w:rsidTr="007C60E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9443348,54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9443348,54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</w:t>
            </w:r>
            <w:r w:rsidRPr="007C60EA">
              <w:rPr>
                <w:szCs w:val="28"/>
                <w:lang w:eastAsia="ru-RU"/>
              </w:rPr>
              <w:lastRenderedPageBreak/>
              <w:t>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  С1494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77 2 00  С1494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 на 2022 – 2026 годы»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01 1 01 13330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01 1 01 13330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S3330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456420,73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S3330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456420,73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808789,00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806789,00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7C60EA">
              <w:rPr>
                <w:color w:val="000000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02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200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C60EA">
              <w:rPr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Cs w:val="28"/>
                <w:lang w:eastAsia="ru-RU"/>
              </w:rPr>
            </w:pP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9551" w:type="dxa"/>
        <w:tblInd w:w="93" w:type="dxa"/>
        <w:tblLook w:val="04A0" w:firstRow="1" w:lastRow="0" w:firstColumn="1" w:lastColumn="0" w:noHBand="0" w:noVBand="1"/>
      </w:tblPr>
      <w:tblGrid>
        <w:gridCol w:w="2351"/>
        <w:gridCol w:w="2680"/>
        <w:gridCol w:w="660"/>
        <w:gridCol w:w="3860"/>
      </w:tblGrid>
      <w:tr w:rsidR="007C60EA" w:rsidRPr="007C60EA" w:rsidTr="007C60EA">
        <w:trPr>
          <w:trHeight w:val="3855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bookmarkStart w:id="1" w:name="RANGE!A1:D93"/>
            <w:bookmarkEnd w:id="1"/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 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1890"/>
        </w:trPr>
        <w:tc>
          <w:tcPr>
            <w:tcW w:w="9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32"/>
                <w:lang w:eastAsia="ru-RU"/>
              </w:rPr>
            </w:pPr>
            <w:r w:rsidRPr="007C60EA">
              <w:rPr>
                <w:color w:val="000000"/>
                <w:sz w:val="22"/>
                <w:szCs w:val="32"/>
                <w:lang w:eastAsia="ru-RU"/>
              </w:rPr>
              <w:t>Распределение бюджетных ассигнований по целевым статьям (муниципальным программам Новопоселеновского сельсовета Курского района Курской области Курской области и непрограммным направлениям деятельности), группам видов расходов на 2022 год  и на плановый период  2023 и 2024 годов</w:t>
            </w:r>
          </w:p>
        </w:tc>
      </w:tr>
      <w:tr w:rsidR="007C60EA" w:rsidRPr="007C60EA" w:rsidTr="007C60EA">
        <w:trPr>
          <w:trHeight w:val="375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7C60EA">
              <w:rPr>
                <w:sz w:val="22"/>
                <w:szCs w:val="24"/>
                <w:lang w:eastAsia="ru-RU"/>
              </w:rPr>
              <w:t> 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Итого на 2022 год, рублей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22552727,45</w:t>
            </w:r>
          </w:p>
        </w:tc>
      </w:tr>
      <w:tr w:rsidR="007C60EA" w:rsidRPr="007C60EA" w:rsidTr="007C60EA">
        <w:trPr>
          <w:trHeight w:val="13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 на 2022 – 2026 годы»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19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2022 – 2026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109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1477181,73</w:t>
            </w:r>
          </w:p>
        </w:tc>
      </w:tr>
      <w:tr w:rsidR="007C60EA" w:rsidRPr="007C60EA" w:rsidTr="007C60EA">
        <w:trPr>
          <w:trHeight w:val="172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177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456420,73</w:t>
            </w:r>
          </w:p>
        </w:tc>
      </w:tr>
      <w:tr w:rsidR="007C60EA" w:rsidRPr="007C60EA" w:rsidTr="007C60EA">
        <w:trPr>
          <w:trHeight w:val="159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456420,73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808789,00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806789,00</w:t>
            </w:r>
          </w:p>
        </w:tc>
      </w:tr>
      <w:tr w:rsidR="007C60EA" w:rsidRPr="007C60EA" w:rsidTr="007C60EA">
        <w:trPr>
          <w:trHeight w:val="8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2000,00</w:t>
            </w:r>
          </w:p>
        </w:tc>
      </w:tr>
      <w:tr w:rsidR="007C60EA" w:rsidRPr="007C60EA" w:rsidTr="007C60EA">
        <w:trPr>
          <w:trHeight w:val="163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189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8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3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255685,68</w:t>
            </w:r>
          </w:p>
        </w:tc>
      </w:tr>
      <w:tr w:rsidR="007C60EA" w:rsidRPr="007C60EA" w:rsidTr="007C60EA">
        <w:trPr>
          <w:trHeight w:val="141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2018-2024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7C60EA" w:rsidRPr="007C60EA" w:rsidTr="007C60EA">
        <w:trPr>
          <w:trHeight w:val="7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Основное мероприятие «Осуществление мероприятий в области имущественных и </w:t>
            </w:r>
            <w:r w:rsidRPr="007C60EA">
              <w:rPr>
                <w:sz w:val="22"/>
                <w:szCs w:val="28"/>
                <w:lang w:eastAsia="ru-RU"/>
              </w:rPr>
              <w:lastRenderedPageBreak/>
              <w:t>земельных отношений»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7C60EA" w:rsidRPr="007C60EA" w:rsidTr="007C60EA">
        <w:trPr>
          <w:trHeight w:val="3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7C60EA" w:rsidRPr="007C60EA" w:rsidTr="007C60EA">
        <w:trPr>
          <w:trHeight w:val="9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7C60EA" w:rsidRPr="007C60EA" w:rsidTr="007C60EA">
        <w:trPr>
          <w:trHeight w:val="103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2024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15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2024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93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93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94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7C60EA" w:rsidRPr="007C60EA" w:rsidTr="007C60EA">
        <w:trPr>
          <w:trHeight w:val="18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2022 - 2026 годах»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25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2022 - 2026 годах»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3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7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7391568,00</w:t>
            </w:r>
          </w:p>
        </w:tc>
      </w:tr>
      <w:tr w:rsidR="007C60EA" w:rsidRPr="007C60EA" w:rsidTr="007C60EA">
        <w:trPr>
          <w:trHeight w:val="24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</w:t>
            </w:r>
            <w:r w:rsidRPr="007C60EA">
              <w:rPr>
                <w:sz w:val="22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267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21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7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39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16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Муниципальная программа «Профилактика правонарушений в Новопоселеновском сельсовете Курского района Курской области на 2018 – 2024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7C60EA" w:rsidRPr="007C60EA" w:rsidTr="007C60EA">
        <w:trPr>
          <w:trHeight w:val="14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7C60EA" w:rsidRPr="007C60EA" w:rsidTr="007C60EA">
        <w:trPr>
          <w:trHeight w:val="27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7C60EA" w:rsidRPr="007C60EA" w:rsidTr="007C60EA">
        <w:trPr>
          <w:trHeight w:val="160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7C60EA" w:rsidRPr="007C60EA" w:rsidTr="007C60EA">
        <w:trPr>
          <w:trHeight w:val="97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7C60EA" w:rsidRPr="007C60EA" w:rsidTr="007C60EA">
        <w:trPr>
          <w:trHeight w:val="20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3B349B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hyperlink r:id="rId9" w:history="1">
              <w:r w:rsidR="007C60EA" w:rsidRPr="007C60EA">
                <w:rPr>
                  <w:sz w:val="22"/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30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00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2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1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7C60EA" w:rsidRPr="007C60EA" w:rsidTr="007C60EA">
        <w:trPr>
          <w:trHeight w:val="13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291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7C60EA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75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 1 F2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100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1362463,47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7C60EA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881693,07</w:t>
            </w:r>
          </w:p>
        </w:tc>
      </w:tr>
      <w:tr w:rsidR="007C60EA" w:rsidRPr="007C60EA" w:rsidTr="007C60EA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71 1 00  С1402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881693,07</w:t>
            </w:r>
          </w:p>
        </w:tc>
      </w:tr>
      <w:tr w:rsidR="007C60EA" w:rsidRPr="007C60EA" w:rsidTr="007C60EA">
        <w:trPr>
          <w:trHeight w:val="186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881693,07</w:t>
            </w:r>
          </w:p>
        </w:tc>
      </w:tr>
      <w:tr w:rsidR="007C60EA" w:rsidRPr="007C60EA" w:rsidTr="007C60EA">
        <w:trPr>
          <w:trHeight w:val="87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2075302,14</w:t>
            </w:r>
          </w:p>
        </w:tc>
      </w:tr>
      <w:tr w:rsidR="007C60EA" w:rsidRPr="007C60EA" w:rsidTr="007C60EA">
        <w:trPr>
          <w:trHeight w:val="12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60E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2075302,14</w:t>
            </w:r>
          </w:p>
        </w:tc>
      </w:tr>
      <w:tr w:rsidR="007C60EA" w:rsidRPr="007C60EA" w:rsidTr="007C60EA">
        <w:trPr>
          <w:trHeight w:val="11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60E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2075302,14</w:t>
            </w:r>
          </w:p>
        </w:tc>
      </w:tr>
      <w:tr w:rsidR="007C60EA" w:rsidRPr="007C60EA" w:rsidTr="007C60EA">
        <w:trPr>
          <w:trHeight w:val="18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2075302,14</w:t>
            </w:r>
          </w:p>
        </w:tc>
      </w:tr>
      <w:tr w:rsidR="007C60EA" w:rsidRPr="007C60EA" w:rsidTr="007C60EA">
        <w:trPr>
          <w:trHeight w:val="11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8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7C60EA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7C60EA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9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4454884,63</w:t>
            </w:r>
          </w:p>
        </w:tc>
      </w:tr>
      <w:tr w:rsidR="007C60EA" w:rsidRPr="007C60EA" w:rsidTr="007C60EA">
        <w:trPr>
          <w:trHeight w:val="12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2521592,58</w:t>
            </w:r>
          </w:p>
        </w:tc>
      </w:tr>
      <w:tr w:rsidR="007C60EA" w:rsidRPr="007C60EA" w:rsidTr="007C60EA">
        <w:trPr>
          <w:trHeight w:val="82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1933292,05</w:t>
            </w:r>
          </w:p>
        </w:tc>
      </w:tr>
      <w:tr w:rsidR="007C60EA" w:rsidRPr="007C60EA" w:rsidTr="007C60EA">
        <w:trPr>
          <w:trHeight w:val="166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7C60EA">
              <w:rPr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117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1475320,07</w:t>
            </w:r>
          </w:p>
        </w:tc>
      </w:tr>
      <w:tr w:rsidR="007C60EA" w:rsidRPr="007C60EA" w:rsidTr="007C60EA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1475320,07</w:t>
            </w:r>
          </w:p>
        </w:tc>
      </w:tr>
      <w:tr w:rsidR="007C60EA" w:rsidRPr="007C60EA" w:rsidTr="007C60EA">
        <w:trPr>
          <w:trHeight w:val="73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7C60EA" w:rsidRPr="007C60EA" w:rsidTr="007C60EA">
        <w:trPr>
          <w:trHeight w:val="84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77 2 00 С1494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15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77 2 00 С1494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689317,07</w:t>
            </w:r>
          </w:p>
        </w:tc>
      </w:tr>
      <w:tr w:rsidR="007C60EA" w:rsidRPr="007C60EA" w:rsidTr="007C60EA">
        <w:trPr>
          <w:trHeight w:val="136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7C60EA">
              <w:rPr>
                <w:color w:val="000000"/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60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34378,00</w:t>
            </w:r>
          </w:p>
        </w:tc>
      </w:tr>
      <w:tr w:rsidR="007C60EA" w:rsidRPr="007C60EA" w:rsidTr="007C60EA">
        <w:trPr>
          <w:trHeight w:val="6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34378,00</w:t>
            </w:r>
          </w:p>
        </w:tc>
      </w:tr>
      <w:tr w:rsidR="007C60EA" w:rsidRPr="007C60EA" w:rsidTr="007C60EA">
        <w:trPr>
          <w:trHeight w:val="17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29686,00</w:t>
            </w:r>
          </w:p>
        </w:tc>
      </w:tr>
      <w:tr w:rsidR="007C60EA" w:rsidRPr="007C60EA" w:rsidTr="007C60EA">
        <w:trPr>
          <w:trHeight w:val="63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29686,00</w:t>
            </w:r>
          </w:p>
        </w:tc>
      </w:tr>
      <w:tr w:rsidR="007C60EA" w:rsidRPr="007C60EA" w:rsidTr="007C60EA">
        <w:trPr>
          <w:trHeight w:val="63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63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77 3 00 С1441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63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 xml:space="preserve">77 3 00 С1441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326 967,00</w:t>
            </w:r>
          </w:p>
        </w:tc>
      </w:tr>
      <w:tr w:rsidR="007C60EA" w:rsidRPr="007C60EA" w:rsidTr="007C60EA">
        <w:trPr>
          <w:trHeight w:val="85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138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78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lastRenderedPageBreak/>
              <w:t>79 1 00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1715796,66</w:t>
            </w:r>
          </w:p>
        </w:tc>
      </w:tr>
      <w:tr w:rsidR="007C60EA" w:rsidRPr="007C60EA" w:rsidTr="007C60EA">
        <w:trPr>
          <w:trHeight w:val="18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1715296,66</w:t>
            </w:r>
          </w:p>
        </w:tc>
      </w:tr>
      <w:tr w:rsidR="007C60EA" w:rsidRPr="007C60EA" w:rsidTr="007C60EA">
        <w:trPr>
          <w:trHeight w:val="73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500,00</w:t>
            </w: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0678" w:type="dxa"/>
        <w:tblInd w:w="93" w:type="dxa"/>
        <w:tblLook w:val="04A0" w:firstRow="1" w:lastRow="0" w:firstColumn="1" w:lastColumn="0" w:noHBand="0" w:noVBand="1"/>
      </w:tblPr>
      <w:tblGrid>
        <w:gridCol w:w="2283"/>
        <w:gridCol w:w="4395"/>
        <w:gridCol w:w="4000"/>
      </w:tblGrid>
      <w:tr w:rsidR="007C60EA" w:rsidRPr="007C60EA" w:rsidTr="007C60EA">
        <w:trPr>
          <w:trHeight w:val="60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7C60EA">
              <w:rPr>
                <w:color w:val="000000"/>
                <w:sz w:val="22"/>
                <w:szCs w:val="28"/>
                <w:lang w:eastAsia="ru-RU"/>
              </w:rPr>
              <w:t>Приложение №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26 сентября 2022 года № 7-7-1 «О внесении изменений и дополнений в Решение Собрания депутатов Новопоселеновского сельсовета Курского района Курской области от 20 декабря 2021 года № 180-6-87   «О бюджете Новопоселеновского сельсовета Курского района Курской области на 2022 год и на плановый период 2023 и 2024 годов»</w:t>
            </w:r>
            <w:proofErr w:type="gramEnd"/>
          </w:p>
        </w:tc>
      </w:tr>
      <w:tr w:rsidR="007C60EA" w:rsidRPr="007C60EA" w:rsidTr="007C60EA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</w:tr>
      <w:tr w:rsidR="007C60EA" w:rsidRPr="007C60EA" w:rsidTr="007C60EA">
        <w:trPr>
          <w:trHeight w:val="825"/>
        </w:trPr>
        <w:tc>
          <w:tcPr>
            <w:tcW w:w="10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32"/>
                <w:lang w:eastAsia="ru-RU"/>
              </w:rPr>
            </w:pPr>
            <w:r w:rsidRPr="007C60EA">
              <w:rPr>
                <w:sz w:val="22"/>
                <w:szCs w:val="32"/>
                <w:lang w:eastAsia="ru-RU"/>
              </w:rPr>
              <w:t>Объемы межбюджетных трансфертов, получаемых из других бюджетов бюджетной системы Российской Федерации на 2022 год и на плановый период 2023 и 2024 годов</w:t>
            </w:r>
          </w:p>
        </w:tc>
      </w:tr>
      <w:tr w:rsidR="007C60EA" w:rsidRPr="007C60EA" w:rsidTr="007C60EA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Итого на 2022 год, рублей</w:t>
            </w: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2 00 00000 00 0000 000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4350037,60</w:t>
            </w:r>
          </w:p>
        </w:tc>
      </w:tr>
      <w:tr w:rsidR="007C60EA" w:rsidRPr="007C60EA" w:rsidTr="007C60EA">
        <w:trPr>
          <w:trHeight w:val="32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0EA" w:rsidRPr="007C60EA" w:rsidRDefault="007C60EA" w:rsidP="007C60EA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4350037,60</w:t>
            </w:r>
          </w:p>
        </w:tc>
      </w:tr>
      <w:tr w:rsidR="007C60EA" w:rsidRPr="007C60EA" w:rsidTr="007C60EA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2 02 16001 00 0000 150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2 02 16001 10 0000 150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2386008,00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2 02 20000 00 0000 150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1551225,60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2 02 25555 00 0000 150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1339253,60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lastRenderedPageBreak/>
              <w:t>2 02 25555 10 0000 150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1339253,60</w:t>
            </w:r>
          </w:p>
        </w:tc>
      </w:tr>
      <w:tr w:rsidR="007C60EA" w:rsidRPr="007C60EA" w:rsidTr="007C60EA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2 02 29999 00 0000 150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Прочие субсидии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2 02 29999 10 0000 150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Прочие субсидии бюджетной системы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211972,00</w:t>
            </w:r>
          </w:p>
        </w:tc>
      </w:tr>
      <w:tr w:rsidR="007C60EA" w:rsidRPr="007C60EA" w:rsidTr="007C60EA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2 02 30000 00 0000 150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2 02 35118 00 0000 150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2 02 35118 10 0000 150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7C60EA">
              <w:rPr>
                <w:sz w:val="22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244972,00</w:t>
            </w:r>
          </w:p>
        </w:tc>
      </w:tr>
      <w:tr w:rsidR="007C60EA" w:rsidRPr="007C60EA" w:rsidTr="007C60EA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2 02 40000 00 0000 150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2 02 40014 00 0000 150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167832,00</w:t>
            </w:r>
          </w:p>
        </w:tc>
      </w:tr>
      <w:tr w:rsidR="007C60EA" w:rsidRPr="007C60EA" w:rsidTr="007C60EA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2 02 40014 10 0000 150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0EA" w:rsidRPr="007C60EA" w:rsidRDefault="007C60EA" w:rsidP="007C60EA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0EA" w:rsidRPr="007C60EA" w:rsidRDefault="007C60EA" w:rsidP="007C60EA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7C60EA">
              <w:rPr>
                <w:color w:val="000000"/>
                <w:sz w:val="22"/>
                <w:szCs w:val="28"/>
                <w:lang w:eastAsia="ru-RU"/>
              </w:rPr>
              <w:t>167832,00</w:t>
            </w:r>
          </w:p>
        </w:tc>
      </w:tr>
    </w:tbl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Default="007C60EA" w:rsidP="00921429">
      <w:pPr>
        <w:tabs>
          <w:tab w:val="left" w:pos="7290"/>
        </w:tabs>
        <w:rPr>
          <w:sz w:val="28"/>
          <w:szCs w:val="28"/>
        </w:rPr>
      </w:pPr>
    </w:p>
    <w:p w:rsidR="007C60EA" w:rsidRPr="006F3D69" w:rsidRDefault="007C60EA" w:rsidP="00921429">
      <w:pPr>
        <w:tabs>
          <w:tab w:val="left" w:pos="7290"/>
        </w:tabs>
        <w:rPr>
          <w:sz w:val="28"/>
          <w:szCs w:val="28"/>
        </w:rPr>
      </w:pPr>
    </w:p>
    <w:sectPr w:rsidR="007C60EA" w:rsidRPr="006F3D69" w:rsidSect="006F3D69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173F4"/>
    <w:multiLevelType w:val="hybridMultilevel"/>
    <w:tmpl w:val="C8725106"/>
    <w:lvl w:ilvl="0" w:tplc="10D625F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3E"/>
    <w:rsid w:val="00011D7D"/>
    <w:rsid w:val="000146F3"/>
    <w:rsid w:val="00026BAD"/>
    <w:rsid w:val="000360C9"/>
    <w:rsid w:val="00062985"/>
    <w:rsid w:val="00062D3E"/>
    <w:rsid w:val="00075BD7"/>
    <w:rsid w:val="00090B94"/>
    <w:rsid w:val="00091A16"/>
    <w:rsid w:val="000E45F9"/>
    <w:rsid w:val="0010219D"/>
    <w:rsid w:val="001150C2"/>
    <w:rsid w:val="0012444B"/>
    <w:rsid w:val="0016139D"/>
    <w:rsid w:val="001868B7"/>
    <w:rsid w:val="001966CA"/>
    <w:rsid w:val="001A55D1"/>
    <w:rsid w:val="00205E49"/>
    <w:rsid w:val="00225D7C"/>
    <w:rsid w:val="00284B33"/>
    <w:rsid w:val="002B0B28"/>
    <w:rsid w:val="002B202E"/>
    <w:rsid w:val="002C242E"/>
    <w:rsid w:val="002C2632"/>
    <w:rsid w:val="002D1504"/>
    <w:rsid w:val="002E3105"/>
    <w:rsid w:val="002E6988"/>
    <w:rsid w:val="002F3A5D"/>
    <w:rsid w:val="002F414B"/>
    <w:rsid w:val="00371068"/>
    <w:rsid w:val="003B349B"/>
    <w:rsid w:val="003E15F1"/>
    <w:rsid w:val="004320FF"/>
    <w:rsid w:val="0043530A"/>
    <w:rsid w:val="004670E2"/>
    <w:rsid w:val="00480283"/>
    <w:rsid w:val="004955A0"/>
    <w:rsid w:val="004F5EEA"/>
    <w:rsid w:val="005256D4"/>
    <w:rsid w:val="005323E1"/>
    <w:rsid w:val="00582B84"/>
    <w:rsid w:val="005A3781"/>
    <w:rsid w:val="005A6200"/>
    <w:rsid w:val="005B6318"/>
    <w:rsid w:val="005C403D"/>
    <w:rsid w:val="005D1B4C"/>
    <w:rsid w:val="00677B87"/>
    <w:rsid w:val="006E1935"/>
    <w:rsid w:val="006F3D69"/>
    <w:rsid w:val="006F600F"/>
    <w:rsid w:val="00726C2C"/>
    <w:rsid w:val="00750F7B"/>
    <w:rsid w:val="00763423"/>
    <w:rsid w:val="007C60EA"/>
    <w:rsid w:val="008075A3"/>
    <w:rsid w:val="00811352"/>
    <w:rsid w:val="00824678"/>
    <w:rsid w:val="008262C9"/>
    <w:rsid w:val="008357DC"/>
    <w:rsid w:val="0084620B"/>
    <w:rsid w:val="00850F78"/>
    <w:rsid w:val="00854299"/>
    <w:rsid w:val="00885736"/>
    <w:rsid w:val="00890E8D"/>
    <w:rsid w:val="00891247"/>
    <w:rsid w:val="008C260F"/>
    <w:rsid w:val="008D1089"/>
    <w:rsid w:val="00921429"/>
    <w:rsid w:val="00950A7E"/>
    <w:rsid w:val="009C66C5"/>
    <w:rsid w:val="009D24BB"/>
    <w:rsid w:val="009E0883"/>
    <w:rsid w:val="00A166E4"/>
    <w:rsid w:val="00A267BD"/>
    <w:rsid w:val="00A41E77"/>
    <w:rsid w:val="00A52C7D"/>
    <w:rsid w:val="00AD22E1"/>
    <w:rsid w:val="00AE103C"/>
    <w:rsid w:val="00B055C8"/>
    <w:rsid w:val="00B07EF4"/>
    <w:rsid w:val="00B2239B"/>
    <w:rsid w:val="00B750DF"/>
    <w:rsid w:val="00BB5E8D"/>
    <w:rsid w:val="00BE4FF3"/>
    <w:rsid w:val="00BF612A"/>
    <w:rsid w:val="00C16F61"/>
    <w:rsid w:val="00CA3285"/>
    <w:rsid w:val="00CD7E89"/>
    <w:rsid w:val="00D1420B"/>
    <w:rsid w:val="00D22296"/>
    <w:rsid w:val="00D97383"/>
    <w:rsid w:val="00D9759D"/>
    <w:rsid w:val="00DD7232"/>
    <w:rsid w:val="00DE7FCA"/>
    <w:rsid w:val="00DF1475"/>
    <w:rsid w:val="00DF3039"/>
    <w:rsid w:val="00E07A6D"/>
    <w:rsid w:val="00E325AE"/>
    <w:rsid w:val="00E529F8"/>
    <w:rsid w:val="00E97D18"/>
    <w:rsid w:val="00ED7A72"/>
    <w:rsid w:val="00F13959"/>
    <w:rsid w:val="00F95643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D36E-478B-4413-970F-0D9F4FB6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9450</Words>
  <Characters>53865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2022-02-28T08:28:00Z</cp:lastPrinted>
  <dcterms:created xsi:type="dcterms:W3CDTF">2022-10-06T07:41:00Z</dcterms:created>
  <dcterms:modified xsi:type="dcterms:W3CDTF">2022-10-06T07:41:00Z</dcterms:modified>
</cp:coreProperties>
</file>